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06575">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北京市西城区西长安街少年宫</w:t>
      </w:r>
    </w:p>
    <w:p w14:paraId="5982AFC1">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2025年部门预算情况说明</w:t>
      </w:r>
    </w:p>
    <w:p w14:paraId="059D7055">
      <w:pPr>
        <w:snapToGrid w:val="0"/>
        <w:spacing w:before="100" w:beforeAutospacing="1" w:after="100" w:afterAutospacing="1" w:line="560" w:lineRule="exact"/>
        <w:contextualSpacing/>
        <w:rPr>
          <w:rFonts w:ascii="仿宋_GB2312" w:eastAsia="仿宋_GB2312"/>
          <w:b/>
          <w:sz w:val="44"/>
          <w:szCs w:val="44"/>
        </w:rPr>
      </w:pPr>
    </w:p>
    <w:p w14:paraId="03EB31F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0E896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4652C0A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市西城区西长安街少年宫隶属北京市西城区教育委员会，主要职责是西城区青少年校外教育、社区教育和家长学校，是西城区中小学教育的延续和补充。少年宫秉承“创新谋发展、智慧塑人才、课程育素养、艺术润心灵”的办学理念，努力为学员服务、为社会服务、尽心尽力为辖区创造一座艺术教育的乐园。少年宫设有主任室、教务处、社区办、总务处、财务室、教师办6个职能科室。</w:t>
      </w:r>
    </w:p>
    <w:p w14:paraId="25DC57A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11A950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16</w:t>
      </w:r>
      <w:r>
        <w:rPr>
          <w:rFonts w:hint="eastAsia" w:ascii="仿宋" w:hAnsi="仿宋" w:eastAsia="仿宋"/>
          <w:color w:val="000000"/>
          <w:sz w:val="32"/>
          <w:szCs w:val="32"/>
        </w:rPr>
        <w:t>人，实际在册教职工</w:t>
      </w:r>
      <w:r>
        <w:rPr>
          <w:rFonts w:ascii="仿宋" w:hAnsi="仿宋" w:eastAsia="仿宋"/>
          <w:color w:val="000000"/>
          <w:sz w:val="32"/>
          <w:szCs w:val="32"/>
        </w:rPr>
        <w:t>16</w:t>
      </w:r>
      <w:r>
        <w:rPr>
          <w:rFonts w:hint="eastAsia" w:ascii="仿宋" w:hAnsi="仿宋" w:eastAsia="仿宋"/>
          <w:color w:val="000000"/>
          <w:sz w:val="32"/>
          <w:szCs w:val="32"/>
        </w:rPr>
        <w:t>人，离休</w:t>
      </w:r>
      <w:r>
        <w:rPr>
          <w:rFonts w:ascii="仿宋" w:hAnsi="仿宋" w:eastAsia="仿宋"/>
          <w:color w:val="000000"/>
          <w:sz w:val="32"/>
          <w:szCs w:val="32"/>
        </w:rPr>
        <w:t>0</w:t>
      </w:r>
      <w:r>
        <w:rPr>
          <w:rFonts w:hint="eastAsia" w:ascii="仿宋" w:hAnsi="仿宋" w:eastAsia="仿宋"/>
          <w:color w:val="000000"/>
          <w:sz w:val="32"/>
          <w:szCs w:val="32"/>
        </w:rPr>
        <w:t>人，退休</w:t>
      </w:r>
      <w:r>
        <w:rPr>
          <w:rFonts w:ascii="仿宋" w:hAnsi="仿宋" w:eastAsia="仿宋"/>
          <w:color w:val="000000"/>
          <w:sz w:val="32"/>
          <w:szCs w:val="32"/>
        </w:rPr>
        <w:t>4</w:t>
      </w:r>
      <w:r>
        <w:rPr>
          <w:rFonts w:hint="eastAsia" w:ascii="仿宋" w:hAnsi="仿宋" w:eastAsia="仿宋"/>
          <w:color w:val="000000"/>
          <w:sz w:val="32"/>
          <w:szCs w:val="32"/>
        </w:rPr>
        <w:t>人。</w:t>
      </w:r>
    </w:p>
    <w:p w14:paraId="43D409B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二、2025年部门预算收支及增减变化情况说明</w:t>
      </w:r>
    </w:p>
    <w:p w14:paraId="4A9F771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88528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2025年收入预算</w:t>
      </w:r>
      <w:r>
        <w:rPr>
          <w:rFonts w:ascii="仿宋" w:hAnsi="仿宋" w:eastAsia="仿宋"/>
          <w:color w:val="000000"/>
          <w:sz w:val="32"/>
          <w:szCs w:val="32"/>
        </w:rPr>
        <w:t>1121.34</w:t>
      </w:r>
      <w:r>
        <w:rPr>
          <w:rFonts w:hint="eastAsia" w:ascii="仿宋" w:hAnsi="仿宋" w:eastAsia="仿宋"/>
          <w:color w:val="000000"/>
          <w:sz w:val="32"/>
          <w:szCs w:val="32"/>
        </w:rPr>
        <w:t>万元，比2024年</w:t>
      </w:r>
      <w:r>
        <w:rPr>
          <w:rFonts w:hint="eastAsia" w:ascii="仿宋" w:hAnsi="仿宋" w:eastAsia="仿宋"/>
          <w:sz w:val="32"/>
          <w:szCs w:val="32"/>
        </w:rPr>
        <w:t>收入</w:t>
      </w:r>
      <w:r>
        <w:rPr>
          <w:rFonts w:ascii="仿宋" w:hAnsi="仿宋" w:eastAsia="仿宋"/>
          <w:color w:val="000000"/>
          <w:sz w:val="32"/>
          <w:szCs w:val="32"/>
        </w:rPr>
        <w:t>预算1149.96</w:t>
      </w:r>
      <w:r>
        <w:rPr>
          <w:rFonts w:hint="eastAsia" w:ascii="仿宋" w:hAnsi="仿宋" w:eastAsia="仿宋"/>
          <w:color w:val="000000"/>
          <w:sz w:val="32"/>
          <w:szCs w:val="32"/>
        </w:rPr>
        <w:t>万元减少</w:t>
      </w:r>
      <w:r>
        <w:rPr>
          <w:rFonts w:ascii="仿宋" w:hAnsi="仿宋" w:eastAsia="仿宋"/>
          <w:color w:val="000000"/>
          <w:sz w:val="32"/>
          <w:szCs w:val="32"/>
        </w:rPr>
        <w:t>28.62</w:t>
      </w:r>
      <w:r>
        <w:rPr>
          <w:rFonts w:hint="eastAsia" w:ascii="仿宋" w:hAnsi="仿宋" w:eastAsia="仿宋"/>
          <w:color w:val="000000"/>
          <w:sz w:val="32"/>
          <w:szCs w:val="32"/>
        </w:rPr>
        <w:t>万元，降低</w:t>
      </w:r>
      <w:r>
        <w:rPr>
          <w:rFonts w:ascii="仿宋" w:hAnsi="仿宋" w:eastAsia="仿宋"/>
          <w:color w:val="000000"/>
          <w:sz w:val="32"/>
          <w:szCs w:val="32"/>
        </w:rPr>
        <w:t>2.49</w:t>
      </w:r>
      <w:r>
        <w:rPr>
          <w:rFonts w:hint="eastAsia" w:ascii="仿宋" w:hAnsi="仿宋" w:eastAsia="仿宋"/>
          <w:color w:val="000000"/>
          <w:sz w:val="32"/>
          <w:szCs w:val="32"/>
        </w:rPr>
        <w:t>%，主要原因是项目支出预算减少。其中：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1121.34</w:t>
      </w:r>
      <w:r>
        <w:rPr>
          <w:rFonts w:hint="eastAsia" w:ascii="仿宋" w:hAnsi="仿宋" w:eastAsia="仿宋"/>
          <w:color w:val="000000"/>
          <w:sz w:val="32"/>
          <w:szCs w:val="32"/>
        </w:rPr>
        <w:t>万元，比2024年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1149.96</w:t>
      </w:r>
      <w:r>
        <w:rPr>
          <w:rFonts w:hint="eastAsia" w:ascii="仿宋" w:hAnsi="仿宋" w:eastAsia="仿宋"/>
          <w:color w:val="000000"/>
          <w:sz w:val="32"/>
          <w:szCs w:val="32"/>
        </w:rPr>
        <w:t>万元减少</w:t>
      </w:r>
      <w:r>
        <w:rPr>
          <w:rFonts w:ascii="仿宋" w:hAnsi="仿宋" w:eastAsia="仿宋"/>
          <w:color w:val="000000"/>
          <w:sz w:val="32"/>
          <w:szCs w:val="32"/>
        </w:rPr>
        <w:t>28.62</w:t>
      </w:r>
      <w:r>
        <w:rPr>
          <w:rFonts w:hint="eastAsia" w:ascii="仿宋" w:hAnsi="仿宋" w:eastAsia="仿宋"/>
          <w:color w:val="000000"/>
          <w:sz w:val="32"/>
          <w:szCs w:val="32"/>
        </w:rPr>
        <w:t>万元，降低</w:t>
      </w:r>
      <w:r>
        <w:rPr>
          <w:rFonts w:ascii="仿宋" w:hAnsi="仿宋" w:eastAsia="仿宋"/>
          <w:color w:val="000000"/>
          <w:sz w:val="32"/>
          <w:szCs w:val="32"/>
        </w:rPr>
        <w:t>2.49</w:t>
      </w:r>
      <w:r>
        <w:rPr>
          <w:rFonts w:hint="eastAsia" w:ascii="仿宋" w:hAnsi="仿宋" w:eastAsia="仿宋"/>
          <w:color w:val="000000"/>
          <w:sz w:val="32"/>
          <w:szCs w:val="32"/>
        </w:rPr>
        <w:t>%。</w:t>
      </w:r>
    </w:p>
    <w:p w14:paraId="781AF3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84A21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2025年支出预算</w:t>
      </w:r>
      <w:r>
        <w:rPr>
          <w:rFonts w:ascii="仿宋" w:hAnsi="仿宋" w:eastAsia="仿宋"/>
          <w:color w:val="000000"/>
          <w:sz w:val="32"/>
          <w:szCs w:val="32"/>
        </w:rPr>
        <w:t>1121.34</w:t>
      </w:r>
      <w:r>
        <w:rPr>
          <w:rFonts w:hint="eastAsia" w:ascii="仿宋" w:hAnsi="仿宋" w:eastAsia="仿宋"/>
          <w:color w:val="000000"/>
          <w:sz w:val="32"/>
          <w:szCs w:val="32"/>
        </w:rPr>
        <w:t>万元，比2024年年初预算</w:t>
      </w:r>
      <w:r>
        <w:rPr>
          <w:rFonts w:ascii="仿宋" w:hAnsi="仿宋" w:eastAsia="仿宋"/>
          <w:color w:val="000000"/>
          <w:sz w:val="32"/>
          <w:szCs w:val="32"/>
        </w:rPr>
        <w:t>1149.96</w:t>
      </w:r>
      <w:r>
        <w:rPr>
          <w:rFonts w:hint="eastAsia" w:ascii="仿宋" w:hAnsi="仿宋" w:eastAsia="仿宋"/>
          <w:color w:val="000000"/>
          <w:sz w:val="32"/>
          <w:szCs w:val="32"/>
        </w:rPr>
        <w:t>万元减少</w:t>
      </w:r>
      <w:r>
        <w:rPr>
          <w:rFonts w:ascii="仿宋" w:hAnsi="仿宋" w:eastAsia="仿宋"/>
          <w:color w:val="000000"/>
          <w:sz w:val="32"/>
          <w:szCs w:val="32"/>
        </w:rPr>
        <w:t>28.62</w:t>
      </w:r>
      <w:r>
        <w:rPr>
          <w:rFonts w:hint="eastAsia" w:ascii="仿宋" w:hAnsi="仿宋" w:eastAsia="仿宋"/>
          <w:color w:val="000000"/>
          <w:sz w:val="32"/>
          <w:szCs w:val="32"/>
        </w:rPr>
        <w:t>万元，降低</w:t>
      </w:r>
      <w:r>
        <w:rPr>
          <w:rFonts w:ascii="仿宋" w:hAnsi="仿宋" w:eastAsia="仿宋"/>
          <w:color w:val="000000"/>
          <w:sz w:val="32"/>
          <w:szCs w:val="32"/>
        </w:rPr>
        <w:t>2.49</w:t>
      </w:r>
      <w:r>
        <w:rPr>
          <w:rFonts w:hint="eastAsia" w:ascii="仿宋" w:hAnsi="仿宋" w:eastAsia="仿宋"/>
          <w:color w:val="000000"/>
          <w:sz w:val="32"/>
          <w:szCs w:val="32"/>
        </w:rPr>
        <w:t>%。其中：一般公共预算支出预算</w:t>
      </w:r>
      <w:r>
        <w:rPr>
          <w:rFonts w:ascii="仿宋" w:hAnsi="仿宋" w:eastAsia="仿宋"/>
          <w:color w:val="000000"/>
          <w:sz w:val="32"/>
          <w:szCs w:val="32"/>
        </w:rPr>
        <w:t>1121.34</w:t>
      </w:r>
      <w:r>
        <w:rPr>
          <w:rFonts w:hint="eastAsia" w:ascii="仿宋" w:hAnsi="仿宋" w:eastAsia="仿宋"/>
          <w:color w:val="000000"/>
          <w:sz w:val="32"/>
          <w:szCs w:val="32"/>
        </w:rPr>
        <w:t>万元，一般公共预算支出预算中：</w:t>
      </w:r>
    </w:p>
    <w:p w14:paraId="0CFC02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605.70</w:t>
      </w:r>
      <w:r>
        <w:rPr>
          <w:rFonts w:hint="eastAsia" w:ascii="仿宋" w:hAnsi="仿宋" w:eastAsia="仿宋"/>
          <w:color w:val="000000"/>
          <w:sz w:val="32"/>
          <w:szCs w:val="32"/>
        </w:rPr>
        <w:t>万元，比2024年</w:t>
      </w:r>
      <w:r>
        <w:rPr>
          <w:rFonts w:ascii="仿宋" w:hAnsi="仿宋" w:eastAsia="仿宋"/>
          <w:color w:val="000000"/>
          <w:sz w:val="32"/>
          <w:szCs w:val="32"/>
        </w:rPr>
        <w:t>602.32</w:t>
      </w:r>
      <w:r>
        <w:rPr>
          <w:rFonts w:hint="eastAsia" w:ascii="仿宋" w:hAnsi="仿宋" w:eastAsia="仿宋"/>
          <w:color w:val="000000"/>
          <w:sz w:val="32"/>
          <w:szCs w:val="32"/>
        </w:rPr>
        <w:t>万元增加</w:t>
      </w:r>
      <w:r>
        <w:rPr>
          <w:rFonts w:ascii="仿宋" w:hAnsi="仿宋" w:eastAsia="仿宋"/>
          <w:color w:val="000000"/>
          <w:sz w:val="32"/>
          <w:szCs w:val="32"/>
        </w:rPr>
        <w:t>3.38</w:t>
      </w:r>
      <w:r>
        <w:rPr>
          <w:rFonts w:hint="eastAsia" w:ascii="仿宋" w:hAnsi="仿宋" w:eastAsia="仿宋"/>
          <w:color w:val="000000"/>
          <w:sz w:val="32"/>
          <w:szCs w:val="32"/>
        </w:rPr>
        <w:t>万元，增长</w:t>
      </w:r>
      <w:r>
        <w:rPr>
          <w:rFonts w:ascii="仿宋" w:hAnsi="仿宋" w:eastAsia="仿宋"/>
          <w:color w:val="000000"/>
          <w:sz w:val="32"/>
          <w:szCs w:val="32"/>
        </w:rPr>
        <w:t>0.56</w:t>
      </w:r>
      <w:r>
        <w:rPr>
          <w:rFonts w:hint="eastAsia" w:ascii="仿宋" w:hAnsi="仿宋" w:eastAsia="仿宋"/>
          <w:color w:val="000000"/>
          <w:sz w:val="32"/>
          <w:szCs w:val="32"/>
        </w:rPr>
        <w:t>%，</w:t>
      </w:r>
      <w:r>
        <w:rPr>
          <w:rFonts w:hint="eastAsia" w:ascii="仿宋" w:hAnsi="仿宋" w:eastAsia="仿宋"/>
          <w:sz w:val="32"/>
          <w:szCs w:val="32"/>
        </w:rPr>
        <w:t>主要原因是在职人员薪级工资正常晋升，人员经费相应增加。</w:t>
      </w:r>
    </w:p>
    <w:p w14:paraId="5ED00C1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515.64</w:t>
      </w:r>
      <w:r>
        <w:rPr>
          <w:rFonts w:hint="eastAsia" w:ascii="仿宋" w:hAnsi="仿宋" w:eastAsia="仿宋"/>
          <w:color w:val="000000"/>
          <w:sz w:val="32"/>
          <w:szCs w:val="32"/>
        </w:rPr>
        <w:t>万元，比2024年</w:t>
      </w:r>
      <w:r>
        <w:rPr>
          <w:rFonts w:ascii="仿宋" w:hAnsi="仿宋" w:eastAsia="仿宋"/>
          <w:color w:val="000000"/>
          <w:sz w:val="32"/>
          <w:szCs w:val="32"/>
        </w:rPr>
        <w:t>547.64</w:t>
      </w:r>
      <w:r>
        <w:rPr>
          <w:rFonts w:hint="eastAsia" w:ascii="仿宋" w:hAnsi="仿宋" w:eastAsia="仿宋"/>
          <w:color w:val="000000"/>
          <w:sz w:val="32"/>
          <w:szCs w:val="32"/>
        </w:rPr>
        <w:t>万元减少</w:t>
      </w:r>
      <w:r>
        <w:rPr>
          <w:rFonts w:ascii="仿宋" w:hAnsi="仿宋" w:eastAsia="仿宋"/>
          <w:color w:val="000000"/>
          <w:sz w:val="32"/>
          <w:szCs w:val="32"/>
        </w:rPr>
        <w:t>32</w:t>
      </w:r>
      <w:r>
        <w:rPr>
          <w:rFonts w:hint="eastAsia" w:ascii="仿宋" w:hAnsi="仿宋" w:eastAsia="仿宋"/>
          <w:color w:val="000000"/>
          <w:sz w:val="32"/>
          <w:szCs w:val="32"/>
        </w:rPr>
        <w:t>万元，降低</w:t>
      </w:r>
      <w:r>
        <w:rPr>
          <w:rFonts w:ascii="仿宋" w:hAnsi="仿宋" w:eastAsia="仿宋"/>
          <w:color w:val="000000"/>
          <w:sz w:val="32"/>
          <w:szCs w:val="32"/>
        </w:rPr>
        <w:t>5.84</w:t>
      </w:r>
      <w:r>
        <w:rPr>
          <w:rFonts w:hint="eastAsia" w:ascii="仿宋" w:hAnsi="仿宋" w:eastAsia="仿宋"/>
          <w:color w:val="000000"/>
          <w:sz w:val="32"/>
          <w:szCs w:val="32"/>
        </w:rPr>
        <w:t>%。</w:t>
      </w:r>
      <w:r>
        <w:rPr>
          <w:rFonts w:hint="eastAsia" w:ascii="仿宋" w:hAnsi="仿宋" w:eastAsia="仿宋"/>
          <w:sz w:val="32"/>
          <w:szCs w:val="32"/>
        </w:rPr>
        <w:t>主要原因是压减课程及活动经费。</w:t>
      </w:r>
    </w:p>
    <w:p w14:paraId="6766856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4C5E089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（一）基本支出主要包括在职、离退休人员支出、个人和家庭补助支出、公用支出。</w:t>
      </w:r>
    </w:p>
    <w:p w14:paraId="12574E3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（二）项目支出主要包括办公用房租金、课程及活动经费、校园保障经费、日常运维经费、保洁经费和综合维修定额支出。</w:t>
      </w:r>
    </w:p>
    <w:p w14:paraId="6A20D82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910DC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6F4A5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r>
        <w:rPr>
          <w:rFonts w:hint="eastAsia" w:ascii="仿宋" w:hAnsi="仿宋" w:eastAsia="仿宋"/>
          <w:color w:val="000000"/>
          <w:sz w:val="32"/>
          <w:szCs w:val="32"/>
        </w:rPr>
        <w:t>无三公经费</w:t>
      </w:r>
      <w:r>
        <w:rPr>
          <w:rFonts w:ascii="仿宋" w:hAnsi="仿宋" w:eastAsia="仿宋"/>
          <w:color w:val="000000"/>
          <w:sz w:val="32"/>
          <w:szCs w:val="32"/>
        </w:rPr>
        <w:t>。</w:t>
      </w:r>
    </w:p>
    <w:p w14:paraId="5281F70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EEFEC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》的规定执行。2025年部门预算“三公”经费一般公共预算</w:t>
      </w:r>
      <w:r>
        <w:rPr>
          <w:rFonts w:ascii="仿宋" w:hAnsi="仿宋" w:eastAsia="仿宋"/>
          <w:color w:val="000000"/>
          <w:sz w:val="32"/>
          <w:szCs w:val="32"/>
        </w:rPr>
        <w:t>0</w:t>
      </w:r>
      <w:r>
        <w:rPr>
          <w:rFonts w:hint="eastAsia" w:ascii="仿宋" w:hAnsi="仿宋" w:eastAsia="仿宋"/>
          <w:color w:val="000000"/>
          <w:sz w:val="32"/>
          <w:szCs w:val="32"/>
        </w:rPr>
        <w:t>万元，较2024年年初预算</w:t>
      </w:r>
      <w:r>
        <w:rPr>
          <w:rFonts w:ascii="仿宋" w:hAnsi="仿宋" w:eastAsia="仿宋"/>
          <w:color w:val="000000"/>
          <w:sz w:val="32"/>
          <w:szCs w:val="32"/>
        </w:rPr>
        <w:t>0</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无变化</w:t>
      </w:r>
      <w:r>
        <w:rPr>
          <w:rFonts w:hint="eastAsia" w:ascii="仿宋" w:hAnsi="仿宋" w:eastAsia="仿宋"/>
          <w:color w:val="000000"/>
          <w:sz w:val="32"/>
          <w:szCs w:val="32"/>
        </w:rPr>
        <w:t>，主要原因是本单位无三公经费。</w:t>
      </w:r>
    </w:p>
    <w:p w14:paraId="355BE2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1.因公出国（境）费：2025年</w:t>
      </w:r>
      <w:r>
        <w:rPr>
          <w:rFonts w:hint="eastAsia" w:ascii="仿宋" w:hAnsi="仿宋" w:eastAsia="仿宋"/>
          <w:sz w:val="32"/>
          <w:szCs w:val="32"/>
        </w:rPr>
        <w:t>一般公共预算</w:t>
      </w:r>
      <w:r>
        <w:rPr>
          <w:rFonts w:hint="eastAsia" w:ascii="仿宋" w:hAnsi="仿宋" w:eastAsia="仿宋"/>
          <w:color w:val="000000"/>
          <w:sz w:val="32"/>
          <w:szCs w:val="32"/>
        </w:rPr>
        <w:t>0万元，与2024年一致。</w:t>
      </w:r>
    </w:p>
    <w:p w14:paraId="21041F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2.公务接待费：2025年</w:t>
      </w:r>
      <w:r>
        <w:rPr>
          <w:rFonts w:hint="eastAsia" w:ascii="仿宋" w:hAnsi="仿宋" w:eastAsia="仿宋"/>
          <w:sz w:val="32"/>
          <w:szCs w:val="32"/>
        </w:rPr>
        <w:t>一般公共预算</w:t>
      </w:r>
      <w:r>
        <w:rPr>
          <w:rFonts w:hint="eastAsia" w:ascii="仿宋" w:hAnsi="仿宋" w:eastAsia="仿宋"/>
          <w:color w:val="000000"/>
          <w:sz w:val="32"/>
          <w:szCs w:val="32"/>
        </w:rPr>
        <w:t>0万元，与2024年一致。</w:t>
      </w:r>
    </w:p>
    <w:p w14:paraId="051ED13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2025年公务用车一般公共预算数量为</w:t>
      </w:r>
      <w:r>
        <w:rPr>
          <w:rFonts w:ascii="仿宋" w:hAnsi="仿宋" w:eastAsia="仿宋"/>
          <w:color w:val="000000"/>
          <w:sz w:val="32"/>
          <w:szCs w:val="32"/>
        </w:rPr>
        <w:t>0</w:t>
      </w:r>
      <w:r>
        <w:rPr>
          <w:rFonts w:hint="eastAsia" w:ascii="仿宋" w:hAnsi="仿宋" w:eastAsia="仿宋"/>
          <w:sz w:val="32"/>
          <w:szCs w:val="32"/>
        </w:rPr>
        <w:t>辆，与2024年一致。2025年公务用车购置及运行维护费一般公共预算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元，与2024年公务用车购置及运行维护费一般公共预算一致，其中公务用车购置费0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元，与2024年公务用车购置费一致。2025年公务用车运行维护费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元，较2024年公务用车运行维护费</w:t>
      </w:r>
      <w:r>
        <w:rPr>
          <w:rFonts w:hint="eastAsia" w:ascii="仿宋" w:hAnsi="仿宋" w:eastAsia="仿宋"/>
          <w:sz w:val="32"/>
          <w:szCs w:val="32"/>
          <w:lang w:val="en-US" w:eastAsia="zh-CN"/>
        </w:rPr>
        <w:t>无变化</w:t>
      </w:r>
      <w:r>
        <w:rPr>
          <w:rFonts w:hint="eastAsia" w:ascii="仿宋" w:hAnsi="仿宋" w:eastAsia="仿宋"/>
          <w:color w:val="000000"/>
          <w:sz w:val="32"/>
          <w:szCs w:val="32"/>
        </w:rPr>
        <w:t>，</w:t>
      </w:r>
      <w:r>
        <w:rPr>
          <w:rFonts w:ascii="仿宋" w:hAnsi="仿宋" w:eastAsia="仿宋"/>
          <w:color w:val="000000"/>
          <w:sz w:val="32"/>
          <w:szCs w:val="32"/>
        </w:rPr>
        <w:t>主要原因是</w:t>
      </w:r>
      <w:r>
        <w:rPr>
          <w:rFonts w:hint="eastAsia" w:ascii="仿宋" w:hAnsi="仿宋" w:eastAsia="仿宋"/>
          <w:color w:val="000000"/>
          <w:sz w:val="32"/>
          <w:szCs w:val="32"/>
        </w:rPr>
        <w:t>结合财政过紧日子措施相关要求，压减公务用车运行及维护费</w:t>
      </w:r>
      <w:r>
        <w:rPr>
          <w:rFonts w:hint="eastAsia" w:ascii="仿宋" w:hAnsi="仿宋" w:eastAsia="仿宋"/>
          <w:sz w:val="32"/>
          <w:szCs w:val="32"/>
        </w:rPr>
        <w:t>。</w:t>
      </w:r>
    </w:p>
    <w:p w14:paraId="363D7E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0354B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7AE55F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6254F5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0613ED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2025年涉及政府采购项目预算资金</w:t>
      </w:r>
      <w:r>
        <w:rPr>
          <w:rFonts w:ascii="仿宋" w:hAnsi="仿宋" w:eastAsia="仿宋"/>
          <w:color w:val="000000"/>
          <w:sz w:val="32"/>
          <w:szCs w:val="32"/>
        </w:rPr>
        <w:t>14.80</w:t>
      </w:r>
      <w:r>
        <w:rPr>
          <w:rFonts w:hint="eastAsia" w:ascii="仿宋" w:hAnsi="仿宋" w:eastAsia="仿宋"/>
          <w:color w:val="000000"/>
          <w:sz w:val="32"/>
          <w:szCs w:val="32"/>
        </w:rPr>
        <w:t>万元。</w:t>
      </w:r>
    </w:p>
    <w:p w14:paraId="0DB51C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80A4C3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3E19FEC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650897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2025年预算填报项目申报表的项目</w:t>
      </w:r>
      <w:r>
        <w:rPr>
          <w:rFonts w:ascii="仿宋" w:hAnsi="仿宋" w:eastAsia="仿宋"/>
          <w:color w:val="000000"/>
          <w:sz w:val="32"/>
          <w:szCs w:val="32"/>
        </w:rPr>
        <w:t>6</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%，100万元以上项目共计</w:t>
      </w:r>
      <w:r>
        <w:rPr>
          <w:rFonts w:ascii="仿宋" w:hAnsi="仿宋" w:eastAsia="仿宋"/>
          <w:color w:val="000000"/>
          <w:sz w:val="32"/>
          <w:szCs w:val="32"/>
        </w:rPr>
        <w:t>1</w:t>
      </w:r>
      <w:r>
        <w:rPr>
          <w:rFonts w:hint="eastAsia" w:ascii="仿宋" w:hAnsi="仿宋" w:eastAsia="仿宋"/>
          <w:color w:val="000000"/>
          <w:sz w:val="32"/>
          <w:szCs w:val="32"/>
        </w:rPr>
        <w:t>个，涉及金额</w:t>
      </w:r>
      <w:r>
        <w:rPr>
          <w:rFonts w:ascii="仿宋" w:hAnsi="仿宋" w:eastAsia="仿宋"/>
          <w:color w:val="000000"/>
          <w:sz w:val="32"/>
          <w:szCs w:val="32"/>
        </w:rPr>
        <w:t>408.64305</w:t>
      </w:r>
      <w:r>
        <w:rPr>
          <w:rFonts w:hint="eastAsia" w:ascii="仿宋" w:hAnsi="仿宋" w:eastAsia="仿宋"/>
          <w:color w:val="000000"/>
          <w:sz w:val="32"/>
          <w:szCs w:val="32"/>
        </w:rPr>
        <w:t>万元。</w:t>
      </w:r>
    </w:p>
    <w:p w14:paraId="5AB74EC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5564EB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B165FD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4680FD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2024年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固定资产总额298.14</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51C385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4E800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75FB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99E31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21DC5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0E7C6F4">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36C866B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CB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1FDE"/>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B7F"/>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5A84"/>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48E1"/>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77E1E"/>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42C"/>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1C73"/>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5C8"/>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A8A"/>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6A4"/>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0795"/>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4C8A"/>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133"/>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2C"/>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C787767"/>
    <w:rsid w:val="6310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1922</Words>
  <Characters>2130</Characters>
  <Lines>15</Lines>
  <Paragraphs>4</Paragraphs>
  <TotalTime>450</TotalTime>
  <ScaleCrop>false</ScaleCrop>
  <LinksUpToDate>false</LinksUpToDate>
  <CharactersWithSpaces>2131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丁叮叮</dc:creator>
  <cp:lastModifiedBy>周惠昭</cp:lastModifiedBy>
  <dcterms:modified xsi:type="dcterms:W3CDTF">2025-05-06T08:06:29Z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eyJoZGlkIjoiMzUzMWQ1M2E4Y2IyZDRlMzFiMWRhNDI3ZGFjNWVjMzkiLCJ1c2VySWQiOiI3MDA4MDM3NDkifQ==</vt:lpwstr>
  </property>
  <property fmtid="{D5CDD505-2E9C-101B-9397-08002B2CF9AE}" pid="3" name="KSOProductBuildVer">
    <vt:lpwstr>2052-12.1.0.18276</vt:lpwstr>
  </property>
  <property fmtid="{D5CDD505-2E9C-101B-9397-08002B2CF9AE}" pid="4" name="ICV">
    <vt:lpwstr>3FDB1B95961247E59580081AEF22DB4A_12</vt:lpwstr>
  </property>
</Properties>
</file>